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E13E1D" w:rsidRDefault="00926234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>
        <w:rPr>
          <w:rFonts w:ascii="Gill Sans MT" w:hAnsi="Gill Sans MT"/>
          <w:color w:val="000000" w:themeColor="text1"/>
          <w:sz w:val="36"/>
          <w:szCs w:val="36"/>
          <w:lang w:val="es-ES"/>
        </w:rPr>
        <w:t>Fiat y Jeep cierran la primera mitad de año en números de record</w:t>
      </w:r>
    </w:p>
    <w:p w:rsidR="00C87633" w:rsidRPr="00C87633" w:rsidRDefault="000F39D9" w:rsidP="008762DB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bookmarkStart w:id="6" w:name="OLE_LINK5"/>
      <w:bookmarkStart w:id="7" w:name="OLE_LINK6"/>
      <w:bookmarkStart w:id="8" w:name="OLE_LINK3"/>
      <w:bookmarkStart w:id="9" w:name="OLE_LINK4"/>
      <w:bookmarkEnd w:id="0"/>
      <w:bookmarkEnd w:id="1"/>
      <w:bookmarkEnd w:id="2"/>
      <w:bookmarkEnd w:id="3"/>
      <w:bookmarkEnd w:id="4"/>
      <w:bookmarkEnd w:id="5"/>
      <w:r>
        <w:rPr>
          <w:b/>
          <w:bCs/>
        </w:rPr>
        <w:t>La marca italiana se afian</w:t>
      </w:r>
      <w:r w:rsidR="00926234">
        <w:rPr>
          <w:b/>
          <w:bCs/>
        </w:rPr>
        <w:t>za en el top 10 del mercado español con Fiat 500 como el octavo modelo más vendido.</w:t>
      </w:r>
    </w:p>
    <w:p w:rsidR="00C87633" w:rsidRPr="00A917D8" w:rsidRDefault="00C87633" w:rsidP="00C87633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bCs/>
        </w:rPr>
      </w:pPr>
      <w:r w:rsidRPr="00A917D8">
        <w:rPr>
          <w:b/>
          <w:bCs/>
        </w:rPr>
        <w:t xml:space="preserve"> Jeep </w:t>
      </w:r>
      <w:r w:rsidR="00926234" w:rsidRPr="00A917D8">
        <w:rPr>
          <w:b/>
          <w:bCs/>
        </w:rPr>
        <w:t>sigue pulverizando sus espectaculares números de crecimiento y supera las 7.000 unidades en solo seis meses.</w:t>
      </w:r>
    </w:p>
    <w:p w:rsidR="000F39D9" w:rsidRDefault="000F39D9" w:rsidP="00083740">
      <w:pPr>
        <w:spacing w:line="360" w:lineRule="auto"/>
        <w:ind w:right="566"/>
        <w:jc w:val="both"/>
        <w:rPr>
          <w:b/>
          <w:bCs/>
        </w:rPr>
      </w:pPr>
      <w:bookmarkStart w:id="10" w:name="OLE_LINK12"/>
      <w:bookmarkStart w:id="11" w:name="OLE_LINK13"/>
    </w:p>
    <w:p w:rsidR="000A41F0" w:rsidRDefault="00134D90" w:rsidP="00083740">
      <w:pPr>
        <w:spacing w:line="360" w:lineRule="auto"/>
        <w:ind w:right="566"/>
        <w:jc w:val="both"/>
        <w:rPr>
          <w:bCs/>
        </w:rPr>
      </w:pPr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486599">
        <w:rPr>
          <w:b/>
          <w:bCs/>
        </w:rPr>
        <w:t>3</w:t>
      </w:r>
      <w:r w:rsidR="00C87633">
        <w:rPr>
          <w:b/>
          <w:bCs/>
        </w:rPr>
        <w:t xml:space="preserve"> </w:t>
      </w:r>
      <w:r w:rsidR="00083740">
        <w:rPr>
          <w:b/>
          <w:bCs/>
        </w:rPr>
        <w:t xml:space="preserve">de </w:t>
      </w:r>
      <w:r w:rsidR="00926234">
        <w:rPr>
          <w:b/>
          <w:bCs/>
        </w:rPr>
        <w:t>julio</w:t>
      </w:r>
      <w:r w:rsidRPr="00DE6F4E">
        <w:rPr>
          <w:b/>
          <w:bCs/>
        </w:rPr>
        <w:t xml:space="preserve"> de 201</w:t>
      </w:r>
      <w:bookmarkEnd w:id="6"/>
      <w:bookmarkEnd w:id="7"/>
      <w:r w:rsidR="00A1683B">
        <w:rPr>
          <w:b/>
          <w:bCs/>
        </w:rPr>
        <w:t>8</w:t>
      </w:r>
      <w:r>
        <w:rPr>
          <w:b/>
          <w:bCs/>
        </w:rPr>
        <w:t xml:space="preserve">.- </w:t>
      </w:r>
      <w:bookmarkStart w:id="12" w:name="OLE_LINK8"/>
      <w:bookmarkStart w:id="13" w:name="OLE_LINK9"/>
      <w:bookmarkEnd w:id="10"/>
      <w:bookmarkEnd w:id="11"/>
      <w:r w:rsidR="0054057B">
        <w:rPr>
          <w:bCs/>
        </w:rPr>
        <w:t xml:space="preserve">El mercado español de turismos cerró el mes de </w:t>
      </w:r>
      <w:r w:rsidR="00926234">
        <w:rPr>
          <w:bCs/>
        </w:rPr>
        <w:t>junio</w:t>
      </w:r>
      <w:r w:rsidR="0054057B">
        <w:rPr>
          <w:bCs/>
        </w:rPr>
        <w:t xml:space="preserve"> con un total de </w:t>
      </w:r>
      <w:r w:rsidR="00926234">
        <w:rPr>
          <w:bCs/>
        </w:rPr>
        <w:t>142</w:t>
      </w:r>
      <w:r w:rsidR="0054057B">
        <w:rPr>
          <w:bCs/>
        </w:rPr>
        <w:t>.</w:t>
      </w:r>
      <w:r w:rsidR="00926234">
        <w:rPr>
          <w:bCs/>
        </w:rPr>
        <w:t>376</w:t>
      </w:r>
      <w:r w:rsidR="0054057B">
        <w:rPr>
          <w:bCs/>
        </w:rPr>
        <w:t xml:space="preserve"> matriculaciones, lo que supone un</w:t>
      </w:r>
      <w:r w:rsidR="00926234">
        <w:rPr>
          <w:bCs/>
        </w:rPr>
        <w:t xml:space="preserve"> 8</w:t>
      </w:r>
      <w:r w:rsidR="0054057B">
        <w:rPr>
          <w:bCs/>
        </w:rPr>
        <w:t xml:space="preserve">% más que en el mismo mes de 2017. En el acumulado de enero a </w:t>
      </w:r>
      <w:r w:rsidR="00926234">
        <w:rPr>
          <w:bCs/>
        </w:rPr>
        <w:t>junio</w:t>
      </w:r>
      <w:r w:rsidR="0054057B">
        <w:rPr>
          <w:bCs/>
        </w:rPr>
        <w:t xml:space="preserve">, el total de matriculaciones es de </w:t>
      </w:r>
      <w:r w:rsidR="00926234">
        <w:rPr>
          <w:bCs/>
        </w:rPr>
        <w:t>734</w:t>
      </w:r>
      <w:r w:rsidR="00CD0F01">
        <w:rPr>
          <w:bCs/>
        </w:rPr>
        <w:t>.</w:t>
      </w:r>
      <w:r w:rsidR="00926234">
        <w:rPr>
          <w:bCs/>
        </w:rPr>
        <w:t>649</w:t>
      </w:r>
      <w:r w:rsidR="0054057B">
        <w:rPr>
          <w:bCs/>
        </w:rPr>
        <w:t xml:space="preserve"> unidades, un </w:t>
      </w:r>
      <w:r w:rsidR="00CD0F01">
        <w:rPr>
          <w:bCs/>
        </w:rPr>
        <w:t>10,</w:t>
      </w:r>
      <w:r w:rsidR="00926234">
        <w:rPr>
          <w:bCs/>
        </w:rPr>
        <w:t>1</w:t>
      </w:r>
      <w:r w:rsidR="0054057B">
        <w:rPr>
          <w:bCs/>
        </w:rPr>
        <w:t>% superior al mismo periodo del pasado año.</w:t>
      </w:r>
    </w:p>
    <w:p w:rsidR="00DD766C" w:rsidRDefault="00DD766C" w:rsidP="00045001">
      <w:pPr>
        <w:spacing w:line="360" w:lineRule="auto"/>
        <w:ind w:right="566"/>
        <w:jc w:val="both"/>
        <w:rPr>
          <w:bCs/>
        </w:rPr>
      </w:pPr>
    </w:p>
    <w:p w:rsidR="00CD0F01" w:rsidRDefault="00926234" w:rsidP="00DD766C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Para </w:t>
      </w:r>
      <w:r w:rsidR="000F1D99">
        <w:rPr>
          <w:bCs/>
        </w:rPr>
        <w:t>Fiat</w:t>
      </w:r>
      <w:r>
        <w:rPr>
          <w:bCs/>
        </w:rPr>
        <w:t>, estos seis primeros meses del año terminan con números de récord</w:t>
      </w:r>
      <w:r w:rsidR="000F39D9">
        <w:rPr>
          <w:bCs/>
        </w:rPr>
        <w:t>,</w:t>
      </w:r>
      <w:r w:rsidR="00A917D8">
        <w:rPr>
          <w:bCs/>
        </w:rPr>
        <w:t xml:space="preserve"> con un total de 35.893 matriculaciones (+11,5%)</w:t>
      </w:r>
      <w:r w:rsidR="000F39D9">
        <w:rPr>
          <w:bCs/>
        </w:rPr>
        <w:t>,</w:t>
      </w:r>
      <w:r w:rsidR="00A917D8">
        <w:rPr>
          <w:bCs/>
        </w:rPr>
        <w:t xml:space="preserve"> lo que le vale para ocupar la octava plaza del ranking de fabricantes del mercado español. Destacan</w:t>
      </w:r>
      <w:r w:rsidR="000F39D9">
        <w:rPr>
          <w:bCs/>
        </w:rPr>
        <w:t>,</w:t>
      </w:r>
      <w:r w:rsidR="00A917D8">
        <w:rPr>
          <w:bCs/>
        </w:rPr>
        <w:t xml:space="preserve"> dentro de estos excelentes resultados</w:t>
      </w:r>
      <w:r w:rsidR="000F39D9">
        <w:rPr>
          <w:bCs/>
        </w:rPr>
        <w:t>,</w:t>
      </w:r>
      <w:r w:rsidR="00A917D8">
        <w:rPr>
          <w:bCs/>
        </w:rPr>
        <w:t xml:space="preserve"> Fiat 500 (15.925 </w:t>
      </w:r>
      <w:proofErr w:type="spellStart"/>
      <w:r w:rsidR="00A917D8">
        <w:rPr>
          <w:bCs/>
        </w:rPr>
        <w:t>uds</w:t>
      </w:r>
      <w:r w:rsidR="000F39D9">
        <w:rPr>
          <w:bCs/>
        </w:rPr>
        <w:t>.</w:t>
      </w:r>
      <w:proofErr w:type="spellEnd"/>
      <w:r w:rsidR="00A917D8">
        <w:rPr>
          <w:bCs/>
        </w:rPr>
        <w:t xml:space="preserve"> +58,1%</w:t>
      </w:r>
      <w:r w:rsidR="000F39D9">
        <w:rPr>
          <w:bCs/>
        </w:rPr>
        <w:t xml:space="preserve"> y octavo modelo más vendido del año</w:t>
      </w:r>
      <w:r w:rsidR="00A917D8">
        <w:rPr>
          <w:bCs/>
        </w:rPr>
        <w:t xml:space="preserve">) y Fiat Tipo (6.638 </w:t>
      </w:r>
      <w:proofErr w:type="spellStart"/>
      <w:r w:rsidR="00A917D8">
        <w:rPr>
          <w:bCs/>
        </w:rPr>
        <w:t>uds</w:t>
      </w:r>
      <w:r w:rsidR="000F39D9">
        <w:rPr>
          <w:bCs/>
        </w:rPr>
        <w:t>.</w:t>
      </w:r>
      <w:proofErr w:type="spellEnd"/>
      <w:r w:rsidR="00A917D8">
        <w:rPr>
          <w:bCs/>
        </w:rPr>
        <w:t xml:space="preserve"> +36,9%). En junio, la marca italiana consiguió un total de 6.968 unidades matriculadas (+4,8</w:t>
      </w:r>
      <w:r w:rsidR="000F39D9">
        <w:rPr>
          <w:bCs/>
        </w:rPr>
        <w:t>%</w:t>
      </w:r>
      <w:r w:rsidR="00651ABB">
        <w:rPr>
          <w:bCs/>
        </w:rPr>
        <w:t>).</w:t>
      </w:r>
    </w:p>
    <w:p w:rsidR="006F1970" w:rsidRDefault="006F1970" w:rsidP="00DD766C">
      <w:pPr>
        <w:spacing w:line="360" w:lineRule="auto"/>
        <w:ind w:right="566"/>
        <w:jc w:val="both"/>
        <w:rPr>
          <w:bCs/>
        </w:rPr>
      </w:pPr>
    </w:p>
    <w:p w:rsidR="006F1970" w:rsidRPr="006F1970" w:rsidRDefault="006F1970" w:rsidP="006F1970">
      <w:pPr>
        <w:spacing w:line="360" w:lineRule="auto"/>
        <w:ind w:right="566"/>
        <w:jc w:val="both"/>
        <w:rPr>
          <w:bCs/>
        </w:rPr>
      </w:pPr>
      <w:r>
        <w:rPr>
          <w:bCs/>
        </w:rPr>
        <w:t xml:space="preserve">Con todo ello, </w:t>
      </w:r>
      <w:r w:rsidRPr="006F1970">
        <w:rPr>
          <w:bCs/>
        </w:rPr>
        <w:t>Fiat crece por encima del mercado en la primera mitad del año, ganando cuota de mercado y afianzándose como uno de los protagonistas de 2018, Fiat 500, una vez más líder indiscutible en su segmento y de</w:t>
      </w:r>
      <w:r>
        <w:rPr>
          <w:bCs/>
        </w:rPr>
        <w:t>ntro del top de los vehículos má</w:t>
      </w:r>
      <w:r w:rsidRPr="006F1970">
        <w:rPr>
          <w:bCs/>
        </w:rPr>
        <w:t xml:space="preserve">s vendidos en España. </w:t>
      </w:r>
    </w:p>
    <w:p w:rsidR="00A917D8" w:rsidRPr="006F1970" w:rsidRDefault="00A917D8" w:rsidP="006F1970">
      <w:pPr>
        <w:spacing w:line="360" w:lineRule="auto"/>
        <w:ind w:right="566"/>
        <w:jc w:val="both"/>
        <w:rPr>
          <w:bCs/>
        </w:rPr>
      </w:pPr>
    </w:p>
    <w:p w:rsidR="00A917D8" w:rsidRDefault="00A917D8" w:rsidP="00DD766C">
      <w:pPr>
        <w:spacing w:line="360" w:lineRule="auto"/>
        <w:ind w:right="566"/>
        <w:jc w:val="both"/>
        <w:rPr>
          <w:bCs/>
        </w:rPr>
      </w:pPr>
      <w:r w:rsidRPr="00A917D8">
        <w:rPr>
          <w:bCs/>
        </w:rPr>
        <w:t xml:space="preserve">Otra de las marcas más destacadas en la primera mitad del año ha sido Jeep. El legendario fabricante de todoterreno sigue superándose a </w:t>
      </w:r>
      <w:r w:rsidR="000F39D9">
        <w:rPr>
          <w:bCs/>
        </w:rPr>
        <w:t>sí mismo mes tras mes. En junio</w:t>
      </w:r>
      <w:r w:rsidRPr="00A917D8">
        <w:rPr>
          <w:bCs/>
        </w:rPr>
        <w:t xml:space="preserve"> logró un total de 1.637 unidades (+95,8%)</w:t>
      </w:r>
      <w:r w:rsidR="000F39D9">
        <w:rPr>
          <w:bCs/>
        </w:rPr>
        <w:t>,</w:t>
      </w:r>
      <w:r w:rsidRPr="00A917D8">
        <w:rPr>
          <w:bCs/>
        </w:rPr>
        <w:t xml:space="preserve"> mientras que en el periodo de enero a junio ya supera las 7.000 unidades en el mercado español: 7.717 (+83,3%). Unas espectaculares cifras que avalan el éxito de sus últimos modelos, como Renegade (3.444 unidades) y </w:t>
      </w:r>
      <w:proofErr w:type="spellStart"/>
      <w:r w:rsidRPr="00A917D8">
        <w:rPr>
          <w:bCs/>
        </w:rPr>
        <w:t>Compass</w:t>
      </w:r>
      <w:proofErr w:type="spellEnd"/>
      <w:r w:rsidRPr="00A917D8">
        <w:rPr>
          <w:bCs/>
        </w:rPr>
        <w:t xml:space="preserve"> (3.583 unidades)</w:t>
      </w:r>
      <w:r>
        <w:rPr>
          <w:bCs/>
        </w:rPr>
        <w:t>.</w:t>
      </w:r>
    </w:p>
    <w:p w:rsidR="000F39D9" w:rsidRPr="00A917D8" w:rsidRDefault="000F39D9" w:rsidP="00DD766C">
      <w:pPr>
        <w:spacing w:line="360" w:lineRule="auto"/>
        <w:ind w:right="566"/>
        <w:jc w:val="both"/>
        <w:rPr>
          <w:bCs/>
        </w:rPr>
      </w:pPr>
    </w:p>
    <w:p w:rsidR="00CD0F01" w:rsidRDefault="00A917D8" w:rsidP="00DD766C">
      <w:pPr>
        <w:spacing w:line="360" w:lineRule="auto"/>
        <w:ind w:right="566"/>
        <w:jc w:val="both"/>
        <w:rPr>
          <w:bCs/>
        </w:rPr>
      </w:pPr>
      <w:r w:rsidRPr="00A917D8">
        <w:rPr>
          <w:bCs/>
        </w:rPr>
        <w:lastRenderedPageBreak/>
        <w:t>Para finalizar, Alfa Romeo cierra junio con 558 unidades (+8,8</w:t>
      </w:r>
      <w:r w:rsidR="000F39D9">
        <w:rPr>
          <w:bCs/>
        </w:rPr>
        <w:t>%</w:t>
      </w:r>
      <w:r w:rsidRPr="00A917D8">
        <w:rPr>
          <w:bCs/>
        </w:rPr>
        <w:t xml:space="preserve">) y llega a mitad de año con 2.112 unidades, entre las destaca especialmente </w:t>
      </w:r>
      <w:proofErr w:type="spellStart"/>
      <w:r w:rsidRPr="00A917D8">
        <w:rPr>
          <w:bCs/>
        </w:rPr>
        <w:t>Stelvio</w:t>
      </w:r>
      <w:proofErr w:type="spellEnd"/>
      <w:r w:rsidRPr="00A917D8">
        <w:rPr>
          <w:bCs/>
        </w:rPr>
        <w:t>, su primer SUV, que ya acumula casi la mitad de las matriculaciones de la marca italiana (1.064 unidades desde enero a junio).</w:t>
      </w:r>
    </w:p>
    <w:p w:rsidR="00E07BE1" w:rsidRPr="00633103" w:rsidRDefault="00AE1780" w:rsidP="00217E0B">
      <w:pPr>
        <w:spacing w:line="360" w:lineRule="auto"/>
        <w:ind w:right="566" w:hanging="142"/>
        <w:jc w:val="right"/>
        <w:rPr>
          <w:b/>
          <w:sz w:val="18"/>
          <w:szCs w:val="18"/>
          <w:lang w:val="en-US"/>
        </w:rPr>
      </w:pPr>
      <w:r w:rsidRPr="00633103">
        <w:rPr>
          <w:b/>
          <w:sz w:val="18"/>
          <w:szCs w:val="18"/>
          <w:lang w:val="en-US"/>
        </w:rPr>
        <w:t>*</w:t>
      </w:r>
      <w:proofErr w:type="spellStart"/>
      <w:r w:rsidRPr="00633103">
        <w:rPr>
          <w:b/>
          <w:sz w:val="18"/>
          <w:szCs w:val="18"/>
          <w:lang w:val="en-US"/>
        </w:rPr>
        <w:t>Datos</w:t>
      </w:r>
      <w:proofErr w:type="spellEnd"/>
      <w:r w:rsidRPr="00633103">
        <w:rPr>
          <w:b/>
          <w:sz w:val="18"/>
          <w:szCs w:val="18"/>
          <w:lang w:val="en-US"/>
        </w:rPr>
        <w:t xml:space="preserve"> ANFAC</w:t>
      </w:r>
      <w:bookmarkEnd w:id="8"/>
      <w:bookmarkEnd w:id="9"/>
    </w:p>
    <w:bookmarkEnd w:id="12"/>
    <w:bookmarkEnd w:id="13"/>
    <w:p w:rsidR="00CC6E32" w:rsidRPr="00633103" w:rsidRDefault="00CC6E32" w:rsidP="00217E0B">
      <w:pPr>
        <w:spacing w:line="360" w:lineRule="auto"/>
        <w:ind w:right="566" w:hanging="142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</w:p>
    <w:p w:rsidR="00412913" w:rsidRPr="00633103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633103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5F" w:rsidRDefault="00071E5F" w:rsidP="0040727A">
      <w:r>
        <w:separator/>
      </w:r>
    </w:p>
  </w:endnote>
  <w:endnote w:type="continuationSeparator" w:id="0">
    <w:p w:rsidR="00071E5F" w:rsidRDefault="00071E5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A0716" w:rsidRPr="00DA071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DA0716" w:rsidRPr="00DA0716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DA0716" w:rsidRPr="00DA0716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5F" w:rsidRDefault="00071E5F" w:rsidP="0040727A">
      <w:r>
        <w:separator/>
      </w:r>
    </w:p>
  </w:footnote>
  <w:footnote w:type="continuationSeparator" w:id="0">
    <w:p w:rsidR="00071E5F" w:rsidRDefault="00071E5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603F"/>
    <w:rsid w:val="0002037D"/>
    <w:rsid w:val="0003158B"/>
    <w:rsid w:val="00037BBE"/>
    <w:rsid w:val="00040EE9"/>
    <w:rsid w:val="000410F9"/>
    <w:rsid w:val="00045001"/>
    <w:rsid w:val="00054D46"/>
    <w:rsid w:val="00071E5F"/>
    <w:rsid w:val="000754BA"/>
    <w:rsid w:val="00077098"/>
    <w:rsid w:val="00083740"/>
    <w:rsid w:val="00086B3C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0F39D9"/>
    <w:rsid w:val="00100C7E"/>
    <w:rsid w:val="001052B7"/>
    <w:rsid w:val="00106F8B"/>
    <w:rsid w:val="00114A23"/>
    <w:rsid w:val="00117539"/>
    <w:rsid w:val="00117B22"/>
    <w:rsid w:val="001224F3"/>
    <w:rsid w:val="00127575"/>
    <w:rsid w:val="00134D90"/>
    <w:rsid w:val="001466B7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205B"/>
    <w:rsid w:val="002632B2"/>
    <w:rsid w:val="0027228C"/>
    <w:rsid w:val="002723FD"/>
    <w:rsid w:val="00277BED"/>
    <w:rsid w:val="00284863"/>
    <w:rsid w:val="00290304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258D5"/>
    <w:rsid w:val="00336E14"/>
    <w:rsid w:val="00344268"/>
    <w:rsid w:val="0035732A"/>
    <w:rsid w:val="00375EE9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86599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E41B3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4057B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610CCD"/>
    <w:rsid w:val="00612276"/>
    <w:rsid w:val="0061424E"/>
    <w:rsid w:val="006242B8"/>
    <w:rsid w:val="00633103"/>
    <w:rsid w:val="006349BF"/>
    <w:rsid w:val="00640156"/>
    <w:rsid w:val="006453F7"/>
    <w:rsid w:val="0065016B"/>
    <w:rsid w:val="00651ABB"/>
    <w:rsid w:val="0065720F"/>
    <w:rsid w:val="00657241"/>
    <w:rsid w:val="00660FD5"/>
    <w:rsid w:val="00662587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6F1970"/>
    <w:rsid w:val="00704B41"/>
    <w:rsid w:val="00710E9A"/>
    <w:rsid w:val="00740753"/>
    <w:rsid w:val="00742856"/>
    <w:rsid w:val="00744A74"/>
    <w:rsid w:val="00746987"/>
    <w:rsid w:val="00747D6E"/>
    <w:rsid w:val="007555AD"/>
    <w:rsid w:val="00756B8C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4B54"/>
    <w:rsid w:val="007F3B1B"/>
    <w:rsid w:val="007F42CE"/>
    <w:rsid w:val="0080593F"/>
    <w:rsid w:val="00807297"/>
    <w:rsid w:val="00821BFC"/>
    <w:rsid w:val="00825E46"/>
    <w:rsid w:val="00826617"/>
    <w:rsid w:val="00831ECD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34F9"/>
    <w:rsid w:val="0094468C"/>
    <w:rsid w:val="00945017"/>
    <w:rsid w:val="00945214"/>
    <w:rsid w:val="00946D20"/>
    <w:rsid w:val="00954FD1"/>
    <w:rsid w:val="00955F44"/>
    <w:rsid w:val="0096324D"/>
    <w:rsid w:val="00971E31"/>
    <w:rsid w:val="00976D0F"/>
    <w:rsid w:val="00991E7D"/>
    <w:rsid w:val="00992775"/>
    <w:rsid w:val="009A38A3"/>
    <w:rsid w:val="009C5591"/>
    <w:rsid w:val="009C6885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47B05"/>
    <w:rsid w:val="00A57CDC"/>
    <w:rsid w:val="00A75A90"/>
    <w:rsid w:val="00A823DB"/>
    <w:rsid w:val="00A917D8"/>
    <w:rsid w:val="00A91968"/>
    <w:rsid w:val="00A96976"/>
    <w:rsid w:val="00AA2C47"/>
    <w:rsid w:val="00AA48FA"/>
    <w:rsid w:val="00AA5EAD"/>
    <w:rsid w:val="00AA6167"/>
    <w:rsid w:val="00AB4F94"/>
    <w:rsid w:val="00AB7FF8"/>
    <w:rsid w:val="00AC6336"/>
    <w:rsid w:val="00AE1780"/>
    <w:rsid w:val="00AE35CD"/>
    <w:rsid w:val="00B0019C"/>
    <w:rsid w:val="00B2051F"/>
    <w:rsid w:val="00B21B70"/>
    <w:rsid w:val="00B23C3A"/>
    <w:rsid w:val="00B32CA2"/>
    <w:rsid w:val="00B35FEB"/>
    <w:rsid w:val="00B64BA0"/>
    <w:rsid w:val="00B65279"/>
    <w:rsid w:val="00B663AD"/>
    <w:rsid w:val="00B748D1"/>
    <w:rsid w:val="00B92B43"/>
    <w:rsid w:val="00B93250"/>
    <w:rsid w:val="00B9591D"/>
    <w:rsid w:val="00BA4F8C"/>
    <w:rsid w:val="00BB33D8"/>
    <w:rsid w:val="00BC3EBE"/>
    <w:rsid w:val="00BC5935"/>
    <w:rsid w:val="00BC688D"/>
    <w:rsid w:val="00BE0212"/>
    <w:rsid w:val="00BE2BA0"/>
    <w:rsid w:val="00BE4AAE"/>
    <w:rsid w:val="00BF00EB"/>
    <w:rsid w:val="00BF49AC"/>
    <w:rsid w:val="00BF5175"/>
    <w:rsid w:val="00C05AB3"/>
    <w:rsid w:val="00C066F6"/>
    <w:rsid w:val="00C10995"/>
    <w:rsid w:val="00C20E27"/>
    <w:rsid w:val="00C2543C"/>
    <w:rsid w:val="00C31BB5"/>
    <w:rsid w:val="00C452B8"/>
    <w:rsid w:val="00C4539D"/>
    <w:rsid w:val="00C53F3B"/>
    <w:rsid w:val="00C5592C"/>
    <w:rsid w:val="00C55CC6"/>
    <w:rsid w:val="00C6192F"/>
    <w:rsid w:val="00C63F47"/>
    <w:rsid w:val="00C7419D"/>
    <w:rsid w:val="00C87633"/>
    <w:rsid w:val="00C93276"/>
    <w:rsid w:val="00C97BA2"/>
    <w:rsid w:val="00CA462B"/>
    <w:rsid w:val="00CC6E32"/>
    <w:rsid w:val="00CD0F01"/>
    <w:rsid w:val="00CD22C5"/>
    <w:rsid w:val="00CD48DB"/>
    <w:rsid w:val="00CD630D"/>
    <w:rsid w:val="00CE0698"/>
    <w:rsid w:val="00CE4218"/>
    <w:rsid w:val="00D01373"/>
    <w:rsid w:val="00D023B9"/>
    <w:rsid w:val="00D03599"/>
    <w:rsid w:val="00D049C5"/>
    <w:rsid w:val="00D22E39"/>
    <w:rsid w:val="00D30759"/>
    <w:rsid w:val="00D43FEE"/>
    <w:rsid w:val="00D53F37"/>
    <w:rsid w:val="00D56495"/>
    <w:rsid w:val="00D62C19"/>
    <w:rsid w:val="00D738C2"/>
    <w:rsid w:val="00D85307"/>
    <w:rsid w:val="00D863D7"/>
    <w:rsid w:val="00D87EE9"/>
    <w:rsid w:val="00D95639"/>
    <w:rsid w:val="00DA0716"/>
    <w:rsid w:val="00DA0A1A"/>
    <w:rsid w:val="00DA18D4"/>
    <w:rsid w:val="00DA30CF"/>
    <w:rsid w:val="00DB09D3"/>
    <w:rsid w:val="00DD14CE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32B37"/>
    <w:rsid w:val="00E3304A"/>
    <w:rsid w:val="00E37AD0"/>
    <w:rsid w:val="00E44FB8"/>
    <w:rsid w:val="00E4540A"/>
    <w:rsid w:val="00E567C0"/>
    <w:rsid w:val="00E602C1"/>
    <w:rsid w:val="00E77030"/>
    <w:rsid w:val="00E92DBA"/>
    <w:rsid w:val="00E96D41"/>
    <w:rsid w:val="00EA2208"/>
    <w:rsid w:val="00EA35CE"/>
    <w:rsid w:val="00EB6979"/>
    <w:rsid w:val="00EC15CA"/>
    <w:rsid w:val="00EC542A"/>
    <w:rsid w:val="00ED4653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87592"/>
    <w:rsid w:val="00F9537E"/>
    <w:rsid w:val="00F9562A"/>
    <w:rsid w:val="00F958FB"/>
    <w:rsid w:val="00FA452D"/>
    <w:rsid w:val="00FA7ABD"/>
    <w:rsid w:val="00FB2D1E"/>
    <w:rsid w:val="00FC0745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64F0-0F40-4E3D-9286-BA075918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7</cp:revision>
  <cp:lastPrinted>2018-05-03T12:31:00Z</cp:lastPrinted>
  <dcterms:created xsi:type="dcterms:W3CDTF">2018-07-02T11:56:00Z</dcterms:created>
  <dcterms:modified xsi:type="dcterms:W3CDTF">2018-07-03T09:22:00Z</dcterms:modified>
</cp:coreProperties>
</file>