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7E7DB2" w:rsidRDefault="00FC16E6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 w:rsidRPr="007E7DB2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Fiat, Jeep y Alfa Romeo </w:t>
      </w:r>
    </w:p>
    <w:p w:rsidR="004A2AEA" w:rsidRPr="007E7DB2" w:rsidRDefault="00FC16E6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 w:rsidRPr="007E7DB2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cierran un </w:t>
      </w:r>
      <w:r w:rsidR="006D761A">
        <w:rPr>
          <w:rFonts w:ascii="Gill Sans MT" w:hAnsi="Gill Sans MT"/>
          <w:color w:val="000000" w:themeColor="text1"/>
          <w:sz w:val="36"/>
          <w:szCs w:val="36"/>
          <w:lang w:val="es-ES"/>
        </w:rPr>
        <w:t>positivo año 2018.</w:t>
      </w:r>
    </w:p>
    <w:p w:rsidR="007E7DB2" w:rsidRPr="007E7DB2" w:rsidRDefault="00BF4FDD" w:rsidP="00BF4FDD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bCs/>
        </w:rPr>
        <w:t xml:space="preserve"> </w:t>
      </w:r>
      <w:r w:rsidR="007E7DB2">
        <w:rPr>
          <w:b/>
          <w:bCs/>
        </w:rPr>
        <w:t>Fiat cierra su sexto año consecutivo de crecimiento</w:t>
      </w:r>
      <w:r w:rsidR="006D761A">
        <w:rPr>
          <w:b/>
          <w:bCs/>
        </w:rPr>
        <w:t>.</w:t>
      </w:r>
    </w:p>
    <w:p w:rsidR="00BF4FDD" w:rsidRPr="00F03683" w:rsidRDefault="007E7DB2" w:rsidP="00BF4FDD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Cs/>
        </w:rPr>
      </w:pPr>
      <w:r>
        <w:rPr>
          <w:b/>
          <w:bCs/>
        </w:rPr>
        <w:t>Jeep se convierte en la marca con mayor incremento de matriculaciones del mercado</w:t>
      </w:r>
      <w:r w:rsidR="006D761A">
        <w:rPr>
          <w:b/>
          <w:bCs/>
        </w:rPr>
        <w:t>.</w:t>
      </w:r>
      <w:r>
        <w:rPr>
          <w:b/>
          <w:bCs/>
        </w:rPr>
        <w:t xml:space="preserve"> </w:t>
      </w:r>
      <w:bookmarkStart w:id="10" w:name="OLE_LINK12"/>
      <w:bookmarkStart w:id="11" w:name="OLE_LINK13"/>
    </w:p>
    <w:p w:rsidR="00F03683" w:rsidRPr="00BF4FDD" w:rsidRDefault="007E7DB2" w:rsidP="00BF4FDD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Cs/>
        </w:rPr>
      </w:pPr>
      <w:r>
        <w:rPr>
          <w:b/>
          <w:bCs/>
        </w:rPr>
        <w:t>Alfa Romeo cierra 2018 en positivo con el Stelvio como uno de los mejores lanzamientos de su historia</w:t>
      </w:r>
      <w:r w:rsidR="006D761A">
        <w:rPr>
          <w:b/>
          <w:bCs/>
        </w:rPr>
        <w:t>.</w:t>
      </w:r>
      <w:bookmarkStart w:id="12" w:name="_GoBack"/>
      <w:bookmarkEnd w:id="12"/>
    </w:p>
    <w:p w:rsidR="00BF4FDD" w:rsidRDefault="00BF4FDD" w:rsidP="00BF4FDD">
      <w:pPr>
        <w:pStyle w:val="Prrafodelista1"/>
        <w:spacing w:line="360" w:lineRule="auto"/>
        <w:ind w:left="0" w:right="566"/>
        <w:jc w:val="both"/>
        <w:rPr>
          <w:bCs/>
        </w:rPr>
      </w:pPr>
    </w:p>
    <w:p w:rsidR="00F03683" w:rsidRDefault="00134D90" w:rsidP="00BF4FDD">
      <w:pPr>
        <w:pStyle w:val="Prrafodelista1"/>
        <w:spacing w:line="360" w:lineRule="auto"/>
        <w:ind w:left="0" w:right="566"/>
        <w:jc w:val="both"/>
        <w:rPr>
          <w:bCs/>
        </w:rPr>
      </w:pPr>
      <w:r w:rsidRPr="00BF4FDD">
        <w:rPr>
          <w:b/>
          <w:bCs/>
        </w:rPr>
        <w:t>Alcalá de Henares</w:t>
      </w:r>
      <w:r w:rsidR="00083740" w:rsidRPr="00BF4FDD">
        <w:rPr>
          <w:b/>
          <w:bCs/>
        </w:rPr>
        <w:t xml:space="preserve">, </w:t>
      </w:r>
      <w:r w:rsidR="004E397A">
        <w:rPr>
          <w:b/>
          <w:bCs/>
        </w:rPr>
        <w:t>4</w:t>
      </w:r>
      <w:r w:rsidR="00C87633" w:rsidRPr="00BF4FDD">
        <w:rPr>
          <w:b/>
          <w:bCs/>
        </w:rPr>
        <w:t xml:space="preserve"> </w:t>
      </w:r>
      <w:r w:rsidR="00083740" w:rsidRPr="00BF4FDD">
        <w:rPr>
          <w:b/>
          <w:bCs/>
        </w:rPr>
        <w:t xml:space="preserve">de </w:t>
      </w:r>
      <w:r w:rsidR="00086A70">
        <w:rPr>
          <w:b/>
          <w:bCs/>
        </w:rPr>
        <w:t>enero</w:t>
      </w:r>
      <w:r w:rsidRPr="00BF4FDD">
        <w:rPr>
          <w:b/>
          <w:bCs/>
        </w:rPr>
        <w:t xml:space="preserve"> de 20</w:t>
      </w:r>
      <w:bookmarkEnd w:id="6"/>
      <w:bookmarkEnd w:id="7"/>
      <w:r w:rsidR="00086A70">
        <w:rPr>
          <w:b/>
          <w:bCs/>
        </w:rPr>
        <w:t>19</w:t>
      </w:r>
      <w:r w:rsidRPr="00BF4FDD">
        <w:rPr>
          <w:b/>
          <w:bCs/>
        </w:rPr>
        <w:t xml:space="preserve">.- </w:t>
      </w:r>
      <w:bookmarkStart w:id="13" w:name="OLE_LINK8"/>
      <w:bookmarkStart w:id="14" w:name="OLE_LINK9"/>
      <w:bookmarkEnd w:id="10"/>
      <w:bookmarkEnd w:id="11"/>
      <w:r w:rsidR="0054057B" w:rsidRPr="00BF4FDD">
        <w:rPr>
          <w:bCs/>
        </w:rPr>
        <w:t xml:space="preserve">El mercado español de turismos </w:t>
      </w:r>
      <w:r w:rsidR="007E7DB2">
        <w:rPr>
          <w:bCs/>
        </w:rPr>
        <w:t>cierra el mes de diciembre c</w:t>
      </w:r>
      <w:r w:rsidR="00BF4FDD">
        <w:rPr>
          <w:bCs/>
        </w:rPr>
        <w:t xml:space="preserve">on un total de </w:t>
      </w:r>
      <w:r w:rsidR="007E7DB2">
        <w:rPr>
          <w:bCs/>
        </w:rPr>
        <w:t>99.291</w:t>
      </w:r>
      <w:r w:rsidR="00BF4FDD">
        <w:rPr>
          <w:bCs/>
        </w:rPr>
        <w:t xml:space="preserve"> matriculaciones, se registra una bajada de un </w:t>
      </w:r>
      <w:r w:rsidR="00F55A69">
        <w:rPr>
          <w:bCs/>
        </w:rPr>
        <w:t>-</w:t>
      </w:r>
      <w:r w:rsidR="007E7DB2">
        <w:rPr>
          <w:bCs/>
        </w:rPr>
        <w:t>3,5</w:t>
      </w:r>
      <w:r w:rsidR="00BF4FDD">
        <w:rPr>
          <w:bCs/>
        </w:rPr>
        <w:t>%</w:t>
      </w:r>
      <w:r w:rsidR="006D761A">
        <w:rPr>
          <w:bCs/>
        </w:rPr>
        <w:t xml:space="preserve"> con respecto al mismo mes del 2017</w:t>
      </w:r>
      <w:r w:rsidR="00BF4FDD">
        <w:rPr>
          <w:bCs/>
        </w:rPr>
        <w:t>. En</w:t>
      </w:r>
      <w:r w:rsidR="00F55A69">
        <w:rPr>
          <w:bCs/>
        </w:rPr>
        <w:t xml:space="preserve"> el acumulado del año</w:t>
      </w:r>
      <w:r w:rsidR="007E7DB2">
        <w:rPr>
          <w:bCs/>
        </w:rPr>
        <w:t>, y para completar 2018</w:t>
      </w:r>
      <w:r w:rsidR="00F55A69">
        <w:rPr>
          <w:bCs/>
        </w:rPr>
        <w:t xml:space="preserve">, se alcanzan las </w:t>
      </w:r>
      <w:r w:rsidR="00BF4FDD">
        <w:rPr>
          <w:bCs/>
        </w:rPr>
        <w:t>1</w:t>
      </w:r>
      <w:r w:rsidR="00F55A69">
        <w:rPr>
          <w:bCs/>
        </w:rPr>
        <w:t>.</w:t>
      </w:r>
      <w:r w:rsidR="007E7DB2">
        <w:rPr>
          <w:bCs/>
        </w:rPr>
        <w:t>321</w:t>
      </w:r>
      <w:r w:rsidR="00BF4FDD">
        <w:rPr>
          <w:bCs/>
        </w:rPr>
        <w:t>.</w:t>
      </w:r>
      <w:r w:rsidR="007E7DB2">
        <w:rPr>
          <w:bCs/>
        </w:rPr>
        <w:t>438</w:t>
      </w:r>
      <w:r w:rsidR="00BF4FDD">
        <w:rPr>
          <w:bCs/>
        </w:rPr>
        <w:t xml:space="preserve"> matriculaciones, lo que supone un </w:t>
      </w:r>
      <w:r w:rsidR="007E7DB2">
        <w:rPr>
          <w:bCs/>
        </w:rPr>
        <w:t xml:space="preserve">7% más que en </w:t>
      </w:r>
      <w:r w:rsidR="00BF4FDD">
        <w:rPr>
          <w:bCs/>
        </w:rPr>
        <w:t>2017.</w:t>
      </w:r>
    </w:p>
    <w:p w:rsidR="007E7DB2" w:rsidRDefault="007E7DB2" w:rsidP="00F55A69">
      <w:pPr>
        <w:pStyle w:val="Prrafodelista1"/>
        <w:spacing w:line="360" w:lineRule="auto"/>
        <w:ind w:left="0" w:right="566"/>
        <w:jc w:val="both"/>
        <w:rPr>
          <w:bCs/>
        </w:rPr>
      </w:pPr>
      <w:r>
        <w:rPr>
          <w:bCs/>
        </w:rPr>
        <w:t>Fiat cierra 2018 como su sexto año de crecimiento continuado. Con un total de 58.607 unidades matriculadas, la marca italiana crece un 7,8% con respecto a 2017. Destacar, una vez más, el triunfo del icónico 500, que con 22.587 unidades (+29,45% comparado con 2017) vuelve a demostrar su liderazgo en el segmento urbano.</w:t>
      </w:r>
    </w:p>
    <w:p w:rsidR="007E7DB2" w:rsidRDefault="007E7DB2" w:rsidP="00F55A69">
      <w:pPr>
        <w:pStyle w:val="Prrafodelista1"/>
        <w:spacing w:line="360" w:lineRule="auto"/>
        <w:ind w:left="0" w:right="566"/>
        <w:jc w:val="both"/>
        <w:rPr>
          <w:bCs/>
        </w:rPr>
      </w:pPr>
    </w:p>
    <w:p w:rsidR="00F55A69" w:rsidRDefault="007E7DB2" w:rsidP="00F55A69">
      <w:pPr>
        <w:pStyle w:val="Prrafodelista1"/>
        <w:spacing w:line="360" w:lineRule="auto"/>
        <w:ind w:left="0" w:right="566"/>
        <w:jc w:val="both"/>
        <w:rPr>
          <w:bCs/>
        </w:rPr>
      </w:pPr>
      <w:r>
        <w:rPr>
          <w:bCs/>
        </w:rPr>
        <w:t xml:space="preserve">Por su parte, </w:t>
      </w:r>
      <w:r w:rsidR="00F03683">
        <w:rPr>
          <w:bCs/>
        </w:rPr>
        <w:t>Jeep</w:t>
      </w:r>
      <w:r>
        <w:rPr>
          <w:bCs/>
        </w:rPr>
        <w:t xml:space="preserve"> sigue haciendo historia y se convierte en la marca (no minoritaria) de mayor crecimiento del mercado español. Con un total de 17.240 unidades, sus matriculaciones crecen un 103% con respecto a 2017, lo que significa haber duplicado su volumen de ventas en tan solo 12 meses y en un mercado que ha sufrido una importante recesión en la segunda mitad de año. </w:t>
      </w:r>
    </w:p>
    <w:p w:rsidR="007E7DB2" w:rsidRDefault="007E7DB2" w:rsidP="004A2AEA">
      <w:pPr>
        <w:pStyle w:val="Prrafodelista1"/>
        <w:spacing w:line="360" w:lineRule="auto"/>
        <w:ind w:left="0" w:right="566"/>
        <w:jc w:val="both"/>
        <w:rPr>
          <w:bCs/>
        </w:rPr>
      </w:pPr>
    </w:p>
    <w:p w:rsidR="00B10248" w:rsidRDefault="007E7DB2" w:rsidP="004A2AEA">
      <w:pPr>
        <w:pStyle w:val="Prrafodelista1"/>
        <w:spacing w:line="360" w:lineRule="auto"/>
        <w:ind w:left="0" w:right="566"/>
        <w:jc w:val="both"/>
        <w:rPr>
          <w:bCs/>
        </w:rPr>
      </w:pPr>
      <w:r>
        <w:rPr>
          <w:bCs/>
        </w:rPr>
        <w:t xml:space="preserve">Por último, Alfa Romeo también cierra el ejercicio 2018 en positivo, con un total de 4.723 unidades, lo que representa un crecimiento de un 17% comparado con 2017. </w:t>
      </w:r>
      <w:r w:rsidR="00F55A69">
        <w:rPr>
          <w:bCs/>
        </w:rPr>
        <w:t xml:space="preserve"> </w:t>
      </w:r>
      <w:r>
        <w:rPr>
          <w:bCs/>
        </w:rPr>
        <w:t>En este caso, destacar cómo Stelvio se ha abierto paso en el complicado segmento SUV hasta convertirse en el modelo más vendido de la marca (2.478 unidades, +147,8%).</w:t>
      </w:r>
    </w:p>
    <w:p w:rsidR="007E7DB2" w:rsidRDefault="007E7DB2" w:rsidP="004A2AEA">
      <w:pPr>
        <w:pStyle w:val="Prrafodelista1"/>
        <w:spacing w:line="360" w:lineRule="auto"/>
        <w:ind w:left="0" w:right="566"/>
        <w:jc w:val="both"/>
        <w:rPr>
          <w:bCs/>
        </w:rPr>
      </w:pPr>
    </w:p>
    <w:p w:rsidR="00E07BE1" w:rsidRPr="006D761A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</w:rPr>
      </w:pPr>
      <w:r w:rsidRPr="006D761A">
        <w:rPr>
          <w:b/>
          <w:sz w:val="18"/>
          <w:szCs w:val="18"/>
        </w:rPr>
        <w:t>*Datos ANFAC</w:t>
      </w:r>
      <w:bookmarkEnd w:id="8"/>
      <w:bookmarkEnd w:id="9"/>
    </w:p>
    <w:bookmarkEnd w:id="13"/>
    <w:bookmarkEnd w:id="14"/>
    <w:p w:rsidR="00CC6E32" w:rsidRPr="006D761A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6D761A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6D761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49" w:rsidRDefault="00652449" w:rsidP="0040727A">
      <w:r>
        <w:separator/>
      </w:r>
    </w:p>
  </w:endnote>
  <w:endnote w:type="continuationSeparator" w:id="0">
    <w:p w:rsidR="00652449" w:rsidRDefault="00652449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E4D81" w:rsidRPr="00EE4D8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EE4D81" w:rsidRPr="00EE4D81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E4D81" w:rsidRPr="00EE4D81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49" w:rsidRDefault="00652449" w:rsidP="0040727A">
      <w:r>
        <w:separator/>
      </w:r>
    </w:p>
  </w:footnote>
  <w:footnote w:type="continuationSeparator" w:id="0">
    <w:p w:rsidR="00652449" w:rsidRDefault="00652449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5A03"/>
    <w:rsid w:val="0001603F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2449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383F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5E46"/>
    <w:rsid w:val="00826617"/>
    <w:rsid w:val="00831ECD"/>
    <w:rsid w:val="008341CC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35B0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5FEB"/>
    <w:rsid w:val="00B56A6C"/>
    <w:rsid w:val="00B64BA0"/>
    <w:rsid w:val="00B65279"/>
    <w:rsid w:val="00B663AD"/>
    <w:rsid w:val="00B748D1"/>
    <w:rsid w:val="00B92B43"/>
    <w:rsid w:val="00B93250"/>
    <w:rsid w:val="00B9591D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49C5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103B9"/>
    <w:rsid w:val="00F10B69"/>
    <w:rsid w:val="00F449FB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F76C-F17A-42C1-907F-388EAFDB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2019-01-03T16:01:00Z</cp:lastPrinted>
  <dcterms:created xsi:type="dcterms:W3CDTF">2019-01-03T16:06:00Z</dcterms:created>
  <dcterms:modified xsi:type="dcterms:W3CDTF">2019-01-04T13:01:00Z</dcterms:modified>
</cp:coreProperties>
</file>