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1" w:rsidRDefault="00E07BE1" w:rsidP="00E07BE1">
      <w:pPr>
        <w:pStyle w:val="03INTESTAZIONEBOLD"/>
        <w:spacing w:line="360" w:lineRule="auto"/>
        <w:ind w:left="-851" w:right="-143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</w:p>
    <w:p w:rsidR="00A30C48" w:rsidRPr="00106F8B" w:rsidRDefault="00054D46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Fiat</w:t>
      </w:r>
      <w:r w:rsidR="001136FC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, la marca que más crece </w:t>
      </w:r>
      <w:r w:rsidR="00CA51F6">
        <w:rPr>
          <w:rFonts w:ascii="Gill Sans MT" w:hAnsi="Gill Sans MT"/>
          <w:color w:val="000000" w:themeColor="text1"/>
          <w:sz w:val="40"/>
          <w:szCs w:val="40"/>
          <w:lang w:val="es-ES"/>
        </w:rPr>
        <w:t>dentro del top10 de matriculaciones</w:t>
      </w:r>
    </w:p>
    <w:p w:rsidR="001C195B" w:rsidRDefault="00054D46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3" w:name="OLE_LINK3"/>
      <w:bookmarkStart w:id="4" w:name="OLE_LINK4"/>
      <w:bookmarkEnd w:id="0"/>
      <w:bookmarkEnd w:id="1"/>
      <w:bookmarkEnd w:id="2"/>
      <w:r>
        <w:rPr>
          <w:b/>
          <w:i/>
        </w:rPr>
        <w:t xml:space="preserve">Supera las 5.000 unidades por segundo mes consecutivo y se convierte en la marca con mayor crecimiento dentro del top10 </w:t>
      </w:r>
    </w:p>
    <w:p w:rsidR="000A2C35" w:rsidRPr="00045001" w:rsidRDefault="000A2C35" w:rsidP="00217E0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 xml:space="preserve">Alfa Romeo </w:t>
      </w:r>
      <w:r w:rsidR="00495FDB">
        <w:rPr>
          <w:b/>
          <w:i/>
        </w:rPr>
        <w:t xml:space="preserve">y Jeep </w:t>
      </w:r>
      <w:r>
        <w:rPr>
          <w:b/>
          <w:i/>
        </w:rPr>
        <w:t>también registran un importante crecimiento de sus matriculaciones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  <w:bookmarkStart w:id="5" w:name="OLE_LINK5"/>
      <w:bookmarkStart w:id="6" w:name="OLE_LINK6"/>
    </w:p>
    <w:p w:rsidR="00106F8B" w:rsidRDefault="00134D90" w:rsidP="00045001">
      <w:pPr>
        <w:spacing w:line="360" w:lineRule="auto"/>
        <w:ind w:right="566"/>
        <w:jc w:val="both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5322FE">
        <w:rPr>
          <w:b/>
          <w:bCs/>
        </w:rPr>
        <w:t>1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054D46">
        <w:rPr>
          <w:b/>
          <w:bCs/>
        </w:rPr>
        <w:t>agosto</w:t>
      </w:r>
      <w:r w:rsidRPr="00DE6F4E">
        <w:rPr>
          <w:b/>
          <w:bCs/>
        </w:rPr>
        <w:t xml:space="preserve"> de 201</w:t>
      </w:r>
      <w:r>
        <w:rPr>
          <w:b/>
          <w:bCs/>
        </w:rPr>
        <w:t>6</w:t>
      </w:r>
      <w:bookmarkEnd w:id="5"/>
      <w:bookmarkEnd w:id="6"/>
      <w:r>
        <w:rPr>
          <w:b/>
          <w:bCs/>
        </w:rPr>
        <w:t xml:space="preserve">.- </w:t>
      </w:r>
      <w:r w:rsidR="00A115F8" w:rsidRPr="00045001">
        <w:t xml:space="preserve">El mercado español de turismos </w:t>
      </w:r>
      <w:r w:rsidR="00054D46">
        <w:t xml:space="preserve">se mantiene en los valores positivos que ha tenido durante el resto del año y en el mes de julio se han matriculado </w:t>
      </w:r>
      <w:r w:rsidR="003D0B65">
        <w:t>107</w:t>
      </w:r>
      <w:r w:rsidR="00054D46">
        <w:t>.</w:t>
      </w:r>
      <w:r w:rsidR="003D0B65">
        <w:t>306</w:t>
      </w:r>
      <w:r w:rsidR="00054D46">
        <w:t xml:space="preserve"> unidades (+</w:t>
      </w:r>
      <w:r w:rsidR="003D0B65">
        <w:t>4,3</w:t>
      </w:r>
      <w:r w:rsidR="000A2C35">
        <w:t>%</w:t>
      </w:r>
      <w:r w:rsidR="00054D46">
        <w:t xml:space="preserve"> con respecto al mismo mes de 2015), lo que suma un total de </w:t>
      </w:r>
      <w:r w:rsidR="003D0B65">
        <w:t>730</w:t>
      </w:r>
      <w:r w:rsidR="00054D46">
        <w:t>.</w:t>
      </w:r>
      <w:r w:rsidR="003D0B65">
        <w:t>540</w:t>
      </w:r>
      <w:r w:rsidR="00054D46">
        <w:t xml:space="preserve"> unidades en lo que va de año, marcando un crecimiento</w:t>
      </w:r>
      <w:r w:rsidR="003D0B65">
        <w:t xml:space="preserve"> acumulado</w:t>
      </w:r>
      <w:r w:rsidR="00054D46">
        <w:t xml:space="preserve"> de un </w:t>
      </w:r>
      <w:r w:rsidR="003D0B65">
        <w:t>11</w:t>
      </w:r>
      <w:r w:rsidR="000A2C35">
        <w:t>%</w:t>
      </w:r>
      <w:r w:rsidR="00054D46">
        <w:t xml:space="preserve"> comparado con 2015.</w:t>
      </w:r>
    </w:p>
    <w:p w:rsidR="00106F8B" w:rsidRDefault="00106F8B" w:rsidP="00045001">
      <w:pPr>
        <w:spacing w:line="360" w:lineRule="auto"/>
        <w:ind w:right="566"/>
        <w:jc w:val="both"/>
      </w:pPr>
    </w:p>
    <w:p w:rsidR="000A2C35" w:rsidRDefault="00054D46" w:rsidP="00045001">
      <w:pPr>
        <w:spacing w:line="360" w:lineRule="auto"/>
        <w:ind w:right="566"/>
        <w:jc w:val="both"/>
      </w:pPr>
      <w:r>
        <w:t xml:space="preserve">Si en junio Fiat logró cifras de récord, julio ha vuelto a ser un mes histórico para la marca italiana. Con un total de </w:t>
      </w:r>
      <w:r w:rsidR="000A2C35">
        <w:t>5.</w:t>
      </w:r>
      <w:r w:rsidR="003D0B65">
        <w:t>760</w:t>
      </w:r>
      <w:r>
        <w:t xml:space="preserve"> unidades, Fiat </w:t>
      </w:r>
      <w:r w:rsidR="003D0B65">
        <w:t>ocupa la octava</w:t>
      </w:r>
      <w:r>
        <w:t xml:space="preserve"> posición </w:t>
      </w:r>
      <w:r w:rsidR="000A2C35">
        <w:t xml:space="preserve">del ranking mensual y, además, se convierte en la marca con un mayor crecimiento entre los 10 primeros, con un </w:t>
      </w:r>
      <w:r w:rsidR="003D0B65">
        <w:t>32,7</w:t>
      </w:r>
      <w:r w:rsidR="000A2C35">
        <w:t>% con respect</w:t>
      </w:r>
      <w:r w:rsidR="003D0B65">
        <w:t>o a julio de 2015, donde la media del mercado ha sido de un 4,23%</w:t>
      </w:r>
      <w:r w:rsidR="000A2C35">
        <w:t xml:space="preserve">. </w:t>
      </w:r>
      <w:r w:rsidR="003D0B65">
        <w:t>Por otro lado, con un total de 33.250 unidades, Fiat acumula un crecimiento desde enero a julio de 2016 de un 25,4% con respecto al mismo periodo de 2015, más del doble del valor acumulado por el mercado en lo que va de año.</w:t>
      </w:r>
    </w:p>
    <w:p w:rsidR="00CA51F6" w:rsidRDefault="00CA51F6" w:rsidP="00045001">
      <w:pPr>
        <w:spacing w:line="360" w:lineRule="auto"/>
        <w:ind w:right="566"/>
        <w:jc w:val="both"/>
      </w:pPr>
    </w:p>
    <w:tbl>
      <w:tblPr>
        <w:tblStyle w:val="Tablaconcuadrcula"/>
        <w:tblW w:w="8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662"/>
        <w:gridCol w:w="1961"/>
        <w:gridCol w:w="1725"/>
        <w:gridCol w:w="1949"/>
      </w:tblGrid>
      <w:tr w:rsidR="00CA51F6" w:rsidTr="00D82CE9">
        <w:tc>
          <w:tcPr>
            <w:tcW w:w="8720" w:type="dxa"/>
            <w:gridSpan w:val="5"/>
          </w:tcPr>
          <w:p w:rsidR="00CA51F6" w:rsidRPr="00CA51F6" w:rsidRDefault="00CA51F6" w:rsidP="001136FC">
            <w:pPr>
              <w:spacing w:line="360" w:lineRule="auto"/>
              <w:ind w:right="566"/>
              <w:jc w:val="center"/>
              <w:rPr>
                <w:b/>
              </w:rPr>
            </w:pPr>
            <w:r>
              <w:rPr>
                <w:b/>
              </w:rPr>
              <w:t xml:space="preserve">Crecimiento entre las 10 marcas con más </w:t>
            </w:r>
            <w:r w:rsidR="00D82CE9">
              <w:rPr>
                <w:b/>
              </w:rPr>
              <w:t>unidades matriculadas</w:t>
            </w:r>
            <w:r>
              <w:rPr>
                <w:b/>
              </w:rPr>
              <w:t xml:space="preserve"> </w:t>
            </w:r>
            <w:r w:rsidR="001136FC">
              <w:rPr>
                <w:b/>
              </w:rPr>
              <w:t>en julio 2016</w:t>
            </w:r>
          </w:p>
        </w:tc>
      </w:tr>
      <w:tr w:rsidR="00CA51F6" w:rsidTr="00D82CE9">
        <w:tc>
          <w:tcPr>
            <w:tcW w:w="1423" w:type="dxa"/>
          </w:tcPr>
          <w:p w:rsidR="00CA51F6" w:rsidRPr="00D82CE9" w:rsidRDefault="00D82CE9" w:rsidP="00D82CE9">
            <w:pPr>
              <w:spacing w:line="360" w:lineRule="auto"/>
              <w:ind w:right="566"/>
              <w:rPr>
                <w:b/>
                <w:sz w:val="20"/>
                <w:szCs w:val="20"/>
              </w:rPr>
            </w:pPr>
            <w:r w:rsidRPr="00D82CE9">
              <w:rPr>
                <w:b/>
                <w:sz w:val="20"/>
                <w:szCs w:val="20"/>
              </w:rPr>
              <w:t>POSICION</w:t>
            </w:r>
          </w:p>
        </w:tc>
        <w:tc>
          <w:tcPr>
            <w:tcW w:w="1662" w:type="dxa"/>
          </w:tcPr>
          <w:p w:rsidR="00CA51F6" w:rsidRPr="00CA51F6" w:rsidRDefault="00CA51F6" w:rsidP="00D82CE9">
            <w:pPr>
              <w:spacing w:line="360" w:lineRule="auto"/>
              <w:ind w:right="566"/>
              <w:jc w:val="center"/>
              <w:rPr>
                <w:b/>
              </w:rPr>
            </w:pPr>
            <w:r w:rsidRPr="00CA51F6">
              <w:rPr>
                <w:b/>
              </w:rPr>
              <w:t>Marca</w:t>
            </w:r>
          </w:p>
        </w:tc>
        <w:tc>
          <w:tcPr>
            <w:tcW w:w="1961" w:type="dxa"/>
          </w:tcPr>
          <w:p w:rsidR="00CA51F6" w:rsidRPr="00CA51F6" w:rsidRDefault="00CA51F6" w:rsidP="00D82CE9">
            <w:pPr>
              <w:spacing w:line="360" w:lineRule="auto"/>
              <w:ind w:right="566"/>
              <w:jc w:val="center"/>
              <w:rPr>
                <w:b/>
              </w:rPr>
            </w:pPr>
            <w:r w:rsidRPr="00CA51F6">
              <w:rPr>
                <w:b/>
              </w:rPr>
              <w:t>Julio 2016</w:t>
            </w:r>
          </w:p>
        </w:tc>
        <w:tc>
          <w:tcPr>
            <w:tcW w:w="1725" w:type="dxa"/>
          </w:tcPr>
          <w:p w:rsidR="00CA51F6" w:rsidRPr="00CA51F6" w:rsidRDefault="00CA51F6" w:rsidP="00D82CE9">
            <w:pPr>
              <w:spacing w:line="360" w:lineRule="auto"/>
              <w:ind w:right="566"/>
              <w:jc w:val="center"/>
              <w:rPr>
                <w:b/>
              </w:rPr>
            </w:pPr>
            <w:r w:rsidRPr="00CA51F6">
              <w:rPr>
                <w:b/>
              </w:rPr>
              <w:t>Julio 2015</w:t>
            </w:r>
          </w:p>
        </w:tc>
        <w:tc>
          <w:tcPr>
            <w:tcW w:w="1949" w:type="dxa"/>
          </w:tcPr>
          <w:p w:rsidR="00CA51F6" w:rsidRPr="00CA51F6" w:rsidRDefault="00CA51F6" w:rsidP="00D82CE9">
            <w:pPr>
              <w:spacing w:line="360" w:lineRule="auto"/>
              <w:ind w:right="566"/>
              <w:jc w:val="center"/>
              <w:rPr>
                <w:b/>
              </w:rPr>
            </w:pPr>
            <w:r w:rsidRPr="00CA51F6">
              <w:rPr>
                <w:b/>
              </w:rPr>
              <w:t>Crecimiento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1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Fiat</w:t>
            </w:r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5.760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4.340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32,7%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2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Dacia</w:t>
            </w:r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5.519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4.284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28,8%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3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Opel</w:t>
            </w:r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8.089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6.564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23,2%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4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proofErr w:type="spellStart"/>
            <w:r>
              <w:t>Seat</w:t>
            </w:r>
            <w:proofErr w:type="spellEnd"/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7.659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7.032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8,9%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5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Nissan</w:t>
            </w:r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5.411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5.096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6,2%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6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Renault</w:t>
            </w:r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8.017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7.597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5,5%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7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Ford</w:t>
            </w:r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5.939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6.138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-3,2%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8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Peugeot</w:t>
            </w:r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7.574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7.829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-3,3%</w:t>
            </w:r>
          </w:p>
        </w:tc>
      </w:tr>
      <w:tr w:rsidR="00CA51F6" w:rsidTr="00D82CE9">
        <w:tc>
          <w:tcPr>
            <w:tcW w:w="1423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lastRenderedPageBreak/>
              <w:t>9</w:t>
            </w:r>
          </w:p>
        </w:tc>
        <w:tc>
          <w:tcPr>
            <w:tcW w:w="1662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Citroën</w:t>
            </w:r>
          </w:p>
        </w:tc>
        <w:tc>
          <w:tcPr>
            <w:tcW w:w="1961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6.083</w:t>
            </w:r>
          </w:p>
        </w:tc>
        <w:tc>
          <w:tcPr>
            <w:tcW w:w="1725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6.617</w:t>
            </w:r>
          </w:p>
        </w:tc>
        <w:tc>
          <w:tcPr>
            <w:tcW w:w="1949" w:type="dxa"/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-8,1%</w:t>
            </w:r>
          </w:p>
        </w:tc>
      </w:tr>
      <w:tr w:rsidR="00CA51F6" w:rsidTr="00B24FB2">
        <w:tc>
          <w:tcPr>
            <w:tcW w:w="1423" w:type="dxa"/>
            <w:tcBorders>
              <w:bottom w:val="single" w:sz="4" w:space="0" w:color="auto"/>
            </w:tcBorders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10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Volkswagen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7.054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9.521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A51F6" w:rsidRDefault="00CA51F6" w:rsidP="00B0278E">
            <w:pPr>
              <w:spacing w:line="360" w:lineRule="auto"/>
              <w:ind w:right="566"/>
              <w:jc w:val="center"/>
            </w:pPr>
            <w:r>
              <w:t>-25,9%</w:t>
            </w:r>
          </w:p>
        </w:tc>
      </w:tr>
      <w:tr w:rsidR="00B24FB2" w:rsidTr="00B24FB2">
        <w:tc>
          <w:tcPr>
            <w:tcW w:w="3085" w:type="dxa"/>
            <w:gridSpan w:val="2"/>
            <w:shd w:val="clear" w:color="auto" w:fill="C6D9F1" w:themeFill="text2" w:themeFillTint="33"/>
          </w:tcPr>
          <w:p w:rsidR="00B24FB2" w:rsidRDefault="00B24FB2" w:rsidP="00B0278E">
            <w:pPr>
              <w:spacing w:line="360" w:lineRule="auto"/>
              <w:ind w:right="566"/>
              <w:jc w:val="center"/>
            </w:pPr>
            <w:r>
              <w:t>Total Mercado</w:t>
            </w:r>
          </w:p>
        </w:tc>
        <w:tc>
          <w:tcPr>
            <w:tcW w:w="1961" w:type="dxa"/>
            <w:shd w:val="clear" w:color="auto" w:fill="C6D9F1" w:themeFill="text2" w:themeFillTint="33"/>
          </w:tcPr>
          <w:p w:rsidR="00B24FB2" w:rsidRDefault="00B24FB2" w:rsidP="00B0278E">
            <w:pPr>
              <w:spacing w:line="360" w:lineRule="auto"/>
              <w:ind w:right="566"/>
              <w:jc w:val="center"/>
            </w:pPr>
            <w:r>
              <w:t>107.306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B24FB2" w:rsidRDefault="00B24FB2" w:rsidP="00B0278E">
            <w:pPr>
              <w:spacing w:line="360" w:lineRule="auto"/>
              <w:ind w:right="566"/>
              <w:jc w:val="center"/>
            </w:pPr>
            <w:r>
              <w:t>102.923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:rsidR="00B24FB2" w:rsidRDefault="00B24FB2" w:rsidP="00B0278E">
            <w:pPr>
              <w:spacing w:line="360" w:lineRule="auto"/>
              <w:ind w:right="566"/>
              <w:jc w:val="center"/>
            </w:pPr>
            <w:r>
              <w:t>4,3%</w:t>
            </w:r>
          </w:p>
        </w:tc>
      </w:tr>
    </w:tbl>
    <w:p w:rsidR="00CA51F6" w:rsidRDefault="00CA51F6" w:rsidP="00045001">
      <w:pPr>
        <w:spacing w:line="360" w:lineRule="auto"/>
        <w:ind w:right="566"/>
        <w:jc w:val="both"/>
      </w:pPr>
    </w:p>
    <w:p w:rsidR="000A2C35" w:rsidRDefault="000A2C35" w:rsidP="00045001">
      <w:pPr>
        <w:spacing w:line="360" w:lineRule="auto"/>
        <w:ind w:right="566"/>
        <w:jc w:val="both"/>
      </w:pPr>
    </w:p>
    <w:p w:rsidR="00045001" w:rsidRPr="00045001" w:rsidRDefault="000A2C35" w:rsidP="0049543E">
      <w:pPr>
        <w:spacing w:line="360" w:lineRule="auto"/>
        <w:ind w:right="566"/>
        <w:jc w:val="both"/>
        <w:rPr>
          <w:b/>
          <w:sz w:val="18"/>
          <w:szCs w:val="18"/>
        </w:rPr>
      </w:pPr>
      <w:r>
        <w:t xml:space="preserve">Por su parte, </w:t>
      </w:r>
      <w:r w:rsidR="003D0B65">
        <w:t>Alfa Romeo</w:t>
      </w:r>
      <w:r>
        <w:t xml:space="preserve"> </w:t>
      </w:r>
      <w:r w:rsidR="003D0B65">
        <w:t>cierra julio con un crecimiento de un 16,3</w:t>
      </w:r>
      <w:r>
        <w:t>%</w:t>
      </w:r>
      <w:r w:rsidR="003D0B65">
        <w:t xml:space="preserve">, confirmando la gran acogida en el mercado del nuevo Alfa Romeo </w:t>
      </w:r>
      <w:proofErr w:type="spellStart"/>
      <w:r w:rsidR="003D0B65">
        <w:t>Giulia</w:t>
      </w:r>
      <w:proofErr w:type="spellEnd"/>
      <w:r w:rsidR="003D0B65">
        <w:t>. Mientras que Jeep (+2,5%</w:t>
      </w:r>
      <w:r w:rsidR="0049543E">
        <w:t xml:space="preserve"> en julio</w:t>
      </w:r>
      <w:r w:rsidR="003D0B65">
        <w:t xml:space="preserve">) </w:t>
      </w:r>
      <w:r w:rsidR="0049543E">
        <w:t xml:space="preserve">sigue siendo la marca de todoterrenos que más crece y </w:t>
      </w:r>
      <w:r w:rsidR="003D0B65">
        <w:t xml:space="preserve">mantiene un </w:t>
      </w:r>
      <w:r w:rsidR="0049543E">
        <w:t>incremento de un 33% en el acumulado del año, donde destaca, una vez más, el rotundo éxito del Jeep Renegade, un modelo que, tras un año y medio desde su lanzamiento, sus ventas siguen aumentando a un ritmo de un 68,1% a lo largo de 2016 (3.335 unidades matriculadas).</w:t>
      </w:r>
    </w:p>
    <w:p w:rsidR="00045001" w:rsidRPr="00045001" w:rsidRDefault="00045001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</w:p>
    <w:p w:rsidR="00E07BE1" w:rsidRPr="008E77B1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8E77B1">
        <w:rPr>
          <w:b/>
          <w:sz w:val="18"/>
          <w:szCs w:val="18"/>
          <w:lang w:val="en-US"/>
        </w:rPr>
        <w:t>*</w:t>
      </w:r>
      <w:proofErr w:type="spellStart"/>
      <w:r w:rsidRPr="008E77B1">
        <w:rPr>
          <w:b/>
          <w:sz w:val="18"/>
          <w:szCs w:val="18"/>
          <w:lang w:val="en-US"/>
        </w:rPr>
        <w:t>Datos</w:t>
      </w:r>
      <w:proofErr w:type="spellEnd"/>
      <w:r w:rsidRPr="008E77B1">
        <w:rPr>
          <w:b/>
          <w:sz w:val="18"/>
          <w:szCs w:val="18"/>
          <w:lang w:val="en-US"/>
        </w:rPr>
        <w:t xml:space="preserve"> ANFAC</w:t>
      </w:r>
      <w:bookmarkEnd w:id="3"/>
      <w:bookmarkEnd w:id="4"/>
    </w:p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8E77B1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91" w:rsidRDefault="00636591" w:rsidP="0040727A">
      <w:r>
        <w:separator/>
      </w:r>
    </w:p>
  </w:endnote>
  <w:endnote w:type="continuationSeparator" w:id="0">
    <w:p w:rsidR="00636591" w:rsidRDefault="0063659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D5CB0" w:rsidRPr="001D5CB0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D5CB0" w:rsidRPr="001D5CB0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D5CB0" w:rsidRPr="001D5CB0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91" w:rsidRDefault="00636591" w:rsidP="0040727A">
      <w:r>
        <w:separator/>
      </w:r>
    </w:p>
  </w:footnote>
  <w:footnote w:type="continuationSeparator" w:id="0">
    <w:p w:rsidR="00636591" w:rsidRDefault="0063659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5680B"/>
    <w:rsid w:val="000A2C35"/>
    <w:rsid w:val="000A7AA5"/>
    <w:rsid w:val="000C4FF6"/>
    <w:rsid w:val="000D5E04"/>
    <w:rsid w:val="000D61DA"/>
    <w:rsid w:val="000F2A1F"/>
    <w:rsid w:val="00106F8B"/>
    <w:rsid w:val="001136FC"/>
    <w:rsid w:val="00114A23"/>
    <w:rsid w:val="00117539"/>
    <w:rsid w:val="001224F3"/>
    <w:rsid w:val="00127575"/>
    <w:rsid w:val="00134D90"/>
    <w:rsid w:val="00152E1F"/>
    <w:rsid w:val="001643D7"/>
    <w:rsid w:val="00196436"/>
    <w:rsid w:val="001A44E1"/>
    <w:rsid w:val="001B476D"/>
    <w:rsid w:val="001C195B"/>
    <w:rsid w:val="001C655F"/>
    <w:rsid w:val="001D5CB0"/>
    <w:rsid w:val="001E6F08"/>
    <w:rsid w:val="001E72DE"/>
    <w:rsid w:val="001F43CC"/>
    <w:rsid w:val="002027F5"/>
    <w:rsid w:val="00217E0B"/>
    <w:rsid w:val="0022002D"/>
    <w:rsid w:val="00235E55"/>
    <w:rsid w:val="00242880"/>
    <w:rsid w:val="00243D71"/>
    <w:rsid w:val="002463D0"/>
    <w:rsid w:val="002579B2"/>
    <w:rsid w:val="002615BB"/>
    <w:rsid w:val="002632B2"/>
    <w:rsid w:val="00277BED"/>
    <w:rsid w:val="00290304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4830"/>
    <w:rsid w:val="004F5277"/>
    <w:rsid w:val="00513EA9"/>
    <w:rsid w:val="0052590C"/>
    <w:rsid w:val="005272E3"/>
    <w:rsid w:val="005322FE"/>
    <w:rsid w:val="00534CF0"/>
    <w:rsid w:val="0055058C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36591"/>
    <w:rsid w:val="006453F7"/>
    <w:rsid w:val="0065016B"/>
    <w:rsid w:val="0065720F"/>
    <w:rsid w:val="00657241"/>
    <w:rsid w:val="00660FD5"/>
    <w:rsid w:val="0067028C"/>
    <w:rsid w:val="00676F51"/>
    <w:rsid w:val="006A69E7"/>
    <w:rsid w:val="006D2246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42CE"/>
    <w:rsid w:val="0080593F"/>
    <w:rsid w:val="00807297"/>
    <w:rsid w:val="00826617"/>
    <w:rsid w:val="0084139F"/>
    <w:rsid w:val="008524D7"/>
    <w:rsid w:val="008E77B1"/>
    <w:rsid w:val="008E7DF0"/>
    <w:rsid w:val="008F35CB"/>
    <w:rsid w:val="008F404C"/>
    <w:rsid w:val="00923D1E"/>
    <w:rsid w:val="009369E2"/>
    <w:rsid w:val="0094468C"/>
    <w:rsid w:val="00945214"/>
    <w:rsid w:val="0096324D"/>
    <w:rsid w:val="00971E31"/>
    <w:rsid w:val="00992775"/>
    <w:rsid w:val="009A38A3"/>
    <w:rsid w:val="009D58E4"/>
    <w:rsid w:val="009D5CDD"/>
    <w:rsid w:val="00A03237"/>
    <w:rsid w:val="00A0337E"/>
    <w:rsid w:val="00A06543"/>
    <w:rsid w:val="00A115F8"/>
    <w:rsid w:val="00A23946"/>
    <w:rsid w:val="00A30C48"/>
    <w:rsid w:val="00A57CDC"/>
    <w:rsid w:val="00A823DB"/>
    <w:rsid w:val="00AA2C47"/>
    <w:rsid w:val="00AA5EAD"/>
    <w:rsid w:val="00AA6167"/>
    <w:rsid w:val="00AB4F94"/>
    <w:rsid w:val="00AB7FF8"/>
    <w:rsid w:val="00AE1780"/>
    <w:rsid w:val="00AE35CD"/>
    <w:rsid w:val="00B0278E"/>
    <w:rsid w:val="00B2051F"/>
    <w:rsid w:val="00B21B70"/>
    <w:rsid w:val="00B23C3A"/>
    <w:rsid w:val="00B24FB2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A462B"/>
    <w:rsid w:val="00CA51F6"/>
    <w:rsid w:val="00CC6E32"/>
    <w:rsid w:val="00CD22C5"/>
    <w:rsid w:val="00CD48DB"/>
    <w:rsid w:val="00CE0698"/>
    <w:rsid w:val="00D30759"/>
    <w:rsid w:val="00D43FEE"/>
    <w:rsid w:val="00D62C19"/>
    <w:rsid w:val="00D738C2"/>
    <w:rsid w:val="00D82CE9"/>
    <w:rsid w:val="00D85307"/>
    <w:rsid w:val="00DA30CF"/>
    <w:rsid w:val="00DD14CE"/>
    <w:rsid w:val="00DE0773"/>
    <w:rsid w:val="00DF296F"/>
    <w:rsid w:val="00DF6B11"/>
    <w:rsid w:val="00E017CF"/>
    <w:rsid w:val="00E07BE1"/>
    <w:rsid w:val="00E10222"/>
    <w:rsid w:val="00E37AD0"/>
    <w:rsid w:val="00E44FB8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782"/>
    <w:rsid w:val="00F55682"/>
    <w:rsid w:val="00F64D03"/>
    <w:rsid w:val="00F854AA"/>
    <w:rsid w:val="00F9537E"/>
    <w:rsid w:val="00FB2D1E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4241-5CA7-4EEF-B031-9B72ADE9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2014-10-14T15:27:00Z</cp:lastPrinted>
  <dcterms:created xsi:type="dcterms:W3CDTF">2016-08-01T11:01:00Z</dcterms:created>
  <dcterms:modified xsi:type="dcterms:W3CDTF">2016-08-01T11:58:00Z</dcterms:modified>
</cp:coreProperties>
</file>